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62E46E3F" w14:textId="04C06974" w:rsidR="00CE7280" w:rsidRDefault="003B2FB4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E7280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CE728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2802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E728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2802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14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согласовании замены дотации на выравнивание бюджетной обеспеченности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 дополнительным нормативом отчислений в бюджет Михайловского муниципального района от налога на доходы физических лиц на 2023 и плановый период 2024 и 2025 годов»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A48CD7" w14:textId="77777777" w:rsidR="003B2FB4" w:rsidRDefault="003B2FB4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3A288394" w:rsidR="003B2FB4" w:rsidRDefault="00B60705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20.06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6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D85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649A331F" w:rsidR="00C36EB1" w:rsidRPr="002D3789" w:rsidRDefault="00DB42A8" w:rsidP="00C36EB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Настоящее заключение о результатах экспертно-аналитического мероприятия: экспертиза проекта решения</w:t>
      </w:r>
      <w:r w:rsidRPr="002D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2023 и плановый период 2024 и 2025 годов»» 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 соответствии с Бюджетным кодексом Российской Федерации (далее - Бюджетный кодекс),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Михайловского муниципального района, Положением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Думы ММР от 28.10.2021 № 135,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Стандартом внешнего муниципального финансового контроля </w:t>
      </w:r>
      <w:r w:rsidR="00A627CD" w:rsidRPr="002D3789">
        <w:rPr>
          <w:rFonts w:ascii="Times New Roman" w:hAnsi="Times New Roman" w:cs="Times New Roman"/>
          <w:sz w:val="28"/>
          <w:szCs w:val="28"/>
        </w:rPr>
        <w:t>«Общие правила проведения экспертно-аналитического мероприятия»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</w:t>
      </w:r>
      <w:proofErr w:type="gramEnd"/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18.01.2022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16-ра </w:t>
      </w:r>
    </w:p>
    <w:p w14:paraId="2ED355A9" w14:textId="77777777" w:rsidR="00C36EB1" w:rsidRPr="002D3789" w:rsidRDefault="00C36EB1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34AC80" w14:textId="7C8A08E9" w:rsidR="00C36EB1" w:rsidRPr="00C36EB1" w:rsidRDefault="00C36EB1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2 абзаца 1  Плана работы Контрольно-счетной комиссии  на 2021 год, утвержденного Распоряжением председателя Контрольно-счетной комиссии  от 14.01.2022 № 7-ра </w:t>
      </w:r>
    </w:p>
    <w:p w14:paraId="2DEEDAAC" w14:textId="77777777" w:rsidR="00240DBF" w:rsidRDefault="00240DBF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3CFA605A" w:rsidR="00BB181A" w:rsidRDefault="00BB181A" w:rsidP="00F6256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474F3C41" w14:textId="0AA81E02" w:rsidR="00690870" w:rsidRDefault="00690870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2023 и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86F77" w14:textId="77777777" w:rsidR="00690870" w:rsidRDefault="00690870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77777777" w:rsidR="00690870" w:rsidRPr="002F2EED" w:rsidRDefault="00690870" w:rsidP="00F6256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D9BC6ED" w14:textId="6E93DBDC" w:rsidR="00690870" w:rsidRDefault="00690870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2023 и плановый период 2024 и 2025 годов»</w:t>
      </w:r>
    </w:p>
    <w:p w14:paraId="3978BA03" w14:textId="77777777" w:rsidR="002F2EED" w:rsidRPr="002F2EED" w:rsidRDefault="002F2EED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77777777" w:rsidR="002F2EED" w:rsidRPr="002F2EED" w:rsidRDefault="002F2EED" w:rsidP="002F2EED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64CC64BC" w14:textId="39667C69" w:rsidR="002F2EED" w:rsidRPr="002F2EED" w:rsidRDefault="002F2EED" w:rsidP="002F2EE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2023 и плановый период 2024 и 2025 годов»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Pr="002F2EED" w:rsidRDefault="002F2EED" w:rsidP="002F2EED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07FE5DA" w14:textId="77777777" w:rsidR="00172938" w:rsidRPr="00690870" w:rsidRDefault="0017293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807E4BF" w:rsidR="00F62569" w:rsidRPr="002F2EED" w:rsidRDefault="00F62569" w:rsidP="00F6256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экспертно-аналитического мероприятия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614360D1" w14:textId="1FA6B09B" w:rsidR="00F62569" w:rsidRPr="002F2EED" w:rsidRDefault="00F62569" w:rsidP="00F625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04FE8867" w14:textId="2BBF9ACB" w:rsidR="00CB579C" w:rsidRPr="002F2EED" w:rsidRDefault="00CB579C" w:rsidP="00CB57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2023 и плановый период 2024 и 2025 годов»»</w:t>
      </w:r>
    </w:p>
    <w:p w14:paraId="5ADCE816" w14:textId="29FB89E5" w:rsidR="00F62569" w:rsidRPr="002F2EED" w:rsidRDefault="009E225D" w:rsidP="009E225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Проекту решения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с ф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инансово-экономическ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решения </w:t>
      </w:r>
    </w:p>
    <w:p w14:paraId="1F208D27" w14:textId="3E39B507" w:rsidR="000B1C18" w:rsidRPr="000B1C18" w:rsidRDefault="000B1C18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28D26C6" w14:textId="1594FFB6" w:rsidR="00CB579C" w:rsidRPr="002A122C" w:rsidRDefault="00E7410D" w:rsidP="00E7410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>В ходе проведения экспертно-аналитического мероприятия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3C153FFD" w14:textId="77777777" w:rsidR="00CB579C" w:rsidRDefault="00CB579C" w:rsidP="00CB579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44A062" w14:textId="734A042A" w:rsidR="00CB579C" w:rsidRPr="002A122C" w:rsidRDefault="00CB579C" w:rsidP="00CB579C">
      <w:pPr>
        <w:tabs>
          <w:tab w:val="left" w:pos="993"/>
        </w:tabs>
        <w:autoSpaceDE w:val="0"/>
        <w:autoSpaceDN w:val="0"/>
        <w:spacing w:after="120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2A122C">
        <w:rPr>
          <w:rFonts w:ascii="Times New Roman" w:hAnsi="Times New Roman"/>
          <w:sz w:val="28"/>
          <w:szCs w:val="28"/>
        </w:rPr>
        <w:lastRenderedPageBreak/>
        <w:t xml:space="preserve">Проектом решения предлагается согласовать </w:t>
      </w:r>
      <w:r w:rsidRPr="002A122C">
        <w:rPr>
          <w:rFonts w:ascii="Times New Roman" w:hAnsi="Times New Roman"/>
          <w:bCs/>
          <w:sz w:val="28"/>
          <w:szCs w:val="28"/>
        </w:rPr>
        <w:t xml:space="preserve">замену дотации на выравнивание бюджетной обеспеченности </w:t>
      </w:r>
      <w:r w:rsidR="00E7410D" w:rsidRPr="002A122C">
        <w:rPr>
          <w:rFonts w:ascii="Times New Roman" w:hAnsi="Times New Roman"/>
          <w:bCs/>
          <w:sz w:val="28"/>
          <w:szCs w:val="28"/>
        </w:rPr>
        <w:t>Михайловского муниципального района</w:t>
      </w:r>
      <w:r w:rsidRPr="002A122C">
        <w:rPr>
          <w:rFonts w:ascii="Times New Roman" w:hAnsi="Times New Roman"/>
          <w:bCs/>
          <w:sz w:val="28"/>
          <w:szCs w:val="28"/>
        </w:rPr>
        <w:t xml:space="preserve"> в полном объеме на дополнительный норматив отчислений в бюджет </w:t>
      </w:r>
      <w:r w:rsidR="00E7410D" w:rsidRPr="002A122C">
        <w:rPr>
          <w:rFonts w:ascii="Times New Roman" w:hAnsi="Times New Roman"/>
          <w:bCs/>
          <w:sz w:val="28"/>
          <w:szCs w:val="28"/>
        </w:rPr>
        <w:t xml:space="preserve">Михайловского муниципального района </w:t>
      </w:r>
      <w:r w:rsidRPr="002A122C">
        <w:rPr>
          <w:rFonts w:ascii="Times New Roman" w:hAnsi="Times New Roman"/>
          <w:bCs/>
          <w:sz w:val="28"/>
          <w:szCs w:val="28"/>
        </w:rPr>
        <w:t>от налога на доходы физических лиц на 202</w:t>
      </w:r>
      <w:r w:rsidR="00E7410D" w:rsidRPr="002A122C">
        <w:rPr>
          <w:rFonts w:ascii="Times New Roman" w:hAnsi="Times New Roman"/>
          <w:bCs/>
          <w:sz w:val="28"/>
          <w:szCs w:val="28"/>
        </w:rPr>
        <w:t>3</w:t>
      </w:r>
      <w:r w:rsidRPr="002A122C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E7410D" w:rsidRPr="002A122C">
        <w:rPr>
          <w:rFonts w:ascii="Times New Roman" w:hAnsi="Times New Roman"/>
          <w:bCs/>
          <w:sz w:val="28"/>
          <w:szCs w:val="28"/>
        </w:rPr>
        <w:t>4</w:t>
      </w:r>
      <w:r w:rsidRPr="002A122C">
        <w:rPr>
          <w:rFonts w:ascii="Times New Roman" w:hAnsi="Times New Roman"/>
          <w:bCs/>
          <w:sz w:val="28"/>
          <w:szCs w:val="28"/>
        </w:rPr>
        <w:t xml:space="preserve"> и 202</w:t>
      </w:r>
      <w:r w:rsidR="00E7410D" w:rsidRPr="002A122C">
        <w:rPr>
          <w:rFonts w:ascii="Times New Roman" w:hAnsi="Times New Roman"/>
          <w:bCs/>
          <w:sz w:val="28"/>
          <w:szCs w:val="28"/>
        </w:rPr>
        <w:t>5</w:t>
      </w:r>
      <w:r w:rsidRPr="002A122C">
        <w:rPr>
          <w:rFonts w:ascii="Times New Roman" w:hAnsi="Times New Roman"/>
          <w:bCs/>
          <w:sz w:val="28"/>
          <w:szCs w:val="28"/>
        </w:rPr>
        <w:t xml:space="preserve"> годов.</w:t>
      </w:r>
    </w:p>
    <w:p w14:paraId="61C9906A" w14:textId="61AEE48C" w:rsidR="00CB579C" w:rsidRPr="002A122C" w:rsidRDefault="00CB579C" w:rsidP="00CB579C">
      <w:pPr>
        <w:tabs>
          <w:tab w:val="left" w:pos="993"/>
        </w:tabs>
        <w:autoSpaceDE w:val="0"/>
        <w:autoSpaceDN w:val="0"/>
        <w:spacing w:after="120"/>
        <w:ind w:firstLine="709"/>
        <w:contextualSpacing/>
        <w:jc w:val="both"/>
        <w:rPr>
          <w:rStyle w:val="blk"/>
          <w:sz w:val="28"/>
          <w:szCs w:val="28"/>
        </w:rPr>
      </w:pPr>
      <w:r w:rsidRPr="002A122C">
        <w:rPr>
          <w:rFonts w:ascii="Times New Roman" w:hAnsi="Times New Roman"/>
          <w:bCs/>
          <w:sz w:val="28"/>
          <w:szCs w:val="28"/>
        </w:rPr>
        <w:t xml:space="preserve">В соответствии с пунктом 5 статьи 138 Бюджетного кодекса РФ </w:t>
      </w:r>
      <w:r w:rsidRPr="002A122C">
        <w:rPr>
          <w:rStyle w:val="blk"/>
          <w:rFonts w:ascii="Times New Roman" w:hAnsi="Times New Roman"/>
          <w:sz w:val="28"/>
          <w:szCs w:val="28"/>
        </w:rPr>
        <w:t xml:space="preserve">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</w:t>
      </w:r>
      <w:r w:rsidR="00C35F8C" w:rsidRPr="002A122C">
        <w:rPr>
          <w:rStyle w:val="blk"/>
          <w:rFonts w:ascii="Times New Roman" w:hAnsi="Times New Roman"/>
          <w:sz w:val="28"/>
          <w:szCs w:val="28"/>
        </w:rPr>
        <w:t>муниципальных районов</w:t>
      </w:r>
      <w:r w:rsidRPr="002A122C">
        <w:rPr>
          <w:rStyle w:val="blk"/>
          <w:rFonts w:ascii="Times New Roman" w:hAnsi="Times New Roman"/>
          <w:sz w:val="28"/>
          <w:szCs w:val="28"/>
        </w:rPr>
        <w:t xml:space="preserve"> могут быть полностью или частично заменены дополнительными нормативами отчислений в бюджеты </w:t>
      </w:r>
      <w:r w:rsidR="00C35F8C" w:rsidRPr="002A122C">
        <w:rPr>
          <w:rStyle w:val="blk"/>
          <w:rFonts w:ascii="Times New Roman" w:hAnsi="Times New Roman"/>
          <w:sz w:val="28"/>
          <w:szCs w:val="28"/>
        </w:rPr>
        <w:t>муниципальных районов</w:t>
      </w:r>
      <w:r w:rsidRPr="002A122C">
        <w:rPr>
          <w:rStyle w:val="blk"/>
          <w:rFonts w:ascii="Times New Roman" w:hAnsi="Times New Roman"/>
          <w:sz w:val="28"/>
          <w:szCs w:val="28"/>
        </w:rPr>
        <w:t xml:space="preserve"> от налога на доходы физических лиц.</w:t>
      </w:r>
    </w:p>
    <w:p w14:paraId="4BD564AE" w14:textId="548451FC" w:rsidR="0065658D" w:rsidRPr="002A122C" w:rsidRDefault="00CB579C" w:rsidP="001211FD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2A122C">
        <w:rPr>
          <w:rFonts w:ascii="Times New Roman" w:hAnsi="Times New Roman"/>
          <w:sz w:val="28"/>
          <w:szCs w:val="28"/>
        </w:rPr>
        <w:t xml:space="preserve">Анализ выше отраженной нормы и представленного на экспертизу Проекта решения показывает, что он разработан в рамках реализации пункта 5 статьи 138 Бюджетного кодекса Российской Федерации. Принятие данного Проекта решения необходимо для работы по составлению (прогнозированию) бюджета </w:t>
      </w:r>
      <w:r w:rsidR="0065658D" w:rsidRPr="002A122C">
        <w:rPr>
          <w:rFonts w:ascii="Times New Roman" w:hAnsi="Times New Roman"/>
          <w:bCs/>
          <w:sz w:val="28"/>
          <w:szCs w:val="28"/>
        </w:rPr>
        <w:t>на 2023 год и плановый период 2024 и 2025 годов.</w:t>
      </w:r>
    </w:p>
    <w:p w14:paraId="3FB3DC1E" w14:textId="60D527CB" w:rsidR="00CB579C" w:rsidRPr="002A122C" w:rsidRDefault="00CB579C" w:rsidP="001211FD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hAnsi="Times New Roman"/>
          <w:bCs/>
          <w:sz w:val="28"/>
          <w:szCs w:val="28"/>
        </w:rPr>
        <w:t xml:space="preserve"> </w:t>
      </w:r>
      <w:r w:rsidR="00373098">
        <w:rPr>
          <w:rFonts w:ascii="Times New Roman" w:hAnsi="Times New Roman"/>
          <w:bCs/>
          <w:sz w:val="28"/>
          <w:szCs w:val="28"/>
        </w:rPr>
        <w:t>А</w:t>
      </w:r>
      <w:r w:rsidRPr="002A122C">
        <w:rPr>
          <w:rFonts w:ascii="Times New Roman" w:hAnsi="Times New Roman"/>
          <w:bCs/>
          <w:sz w:val="28"/>
          <w:szCs w:val="28"/>
        </w:rPr>
        <w:t>налогичная</w:t>
      </w:r>
      <w:r w:rsidR="00373098">
        <w:rPr>
          <w:rFonts w:ascii="Times New Roman" w:hAnsi="Times New Roman"/>
          <w:bCs/>
          <w:sz w:val="28"/>
          <w:szCs w:val="28"/>
        </w:rPr>
        <w:t xml:space="preserve"> норма,</w:t>
      </w:r>
      <w:r w:rsidRPr="002A122C">
        <w:rPr>
          <w:rFonts w:ascii="Times New Roman" w:hAnsi="Times New Roman"/>
          <w:bCs/>
          <w:sz w:val="28"/>
          <w:szCs w:val="28"/>
        </w:rPr>
        <w:t xml:space="preserve"> содержащейся в пункте 5 статьи 138 Бюджетного кодекса РФ</w:t>
      </w:r>
      <w:r w:rsidR="00373098">
        <w:rPr>
          <w:rFonts w:ascii="Times New Roman" w:hAnsi="Times New Roman"/>
          <w:bCs/>
          <w:sz w:val="28"/>
          <w:szCs w:val="28"/>
        </w:rPr>
        <w:t>,</w:t>
      </w:r>
      <w:r w:rsidRPr="002A122C">
        <w:rPr>
          <w:rFonts w:ascii="Times New Roman" w:hAnsi="Times New Roman"/>
          <w:bCs/>
          <w:sz w:val="28"/>
          <w:szCs w:val="28"/>
        </w:rPr>
        <w:t xml:space="preserve"> установлена в части 6 статьи 34 Закона Приморского края от 02.08.2005 № 271-КЗ «О бюджетном устройстве, бюджетном процессе и межбюджетных отношениях в Приморском крае». В </w:t>
      </w:r>
      <w:r w:rsidRPr="002A122C">
        <w:rPr>
          <w:rFonts w:ascii="Times New Roman" w:hAnsi="Times New Roman"/>
          <w:sz w:val="28"/>
          <w:szCs w:val="28"/>
        </w:rPr>
        <w:t xml:space="preserve">Положении </w:t>
      </w:r>
      <w:r w:rsidR="00997738" w:rsidRPr="002A122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997738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Думы Михайловского муниципального района от </w:t>
      </w:r>
      <w:proofErr w:type="gramStart"/>
      <w:r w:rsidR="00997738" w:rsidRPr="002A122C">
        <w:rPr>
          <w:rFonts w:ascii="Times New Roman" w:eastAsia="Times New Roman" w:hAnsi="Times New Roman"/>
          <w:sz w:val="28"/>
          <w:szCs w:val="28"/>
          <w:lang w:eastAsia="ru-RU"/>
        </w:rPr>
        <w:t>31.03.2022  №</w:t>
      </w:r>
      <w:proofErr w:type="gramEnd"/>
      <w:r w:rsidR="00997738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193,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0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такая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  не предусмотрена, но в </w:t>
      </w:r>
      <w:r w:rsidR="00436A3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 статье</w:t>
      </w:r>
      <w:r w:rsidR="00436A3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1FD" w:rsidRPr="002A122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предусмотрено, что Дума </w:t>
      </w:r>
      <w:r w:rsidR="001211FD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иные бюджетные полномочия в соответствии с бюджетным законодательством Российской Федерации. </w:t>
      </w:r>
    </w:p>
    <w:p w14:paraId="482C6B78" w14:textId="5931E436" w:rsidR="008A7BBA" w:rsidRPr="00634C86" w:rsidRDefault="00CB579C" w:rsidP="00634C86">
      <w:pPr>
        <w:pStyle w:val="a8"/>
        <w:shd w:val="clear" w:color="auto" w:fill="FFFFFF"/>
        <w:spacing w:before="21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634C86">
        <w:rPr>
          <w:rStyle w:val="blk"/>
          <w:sz w:val="28"/>
          <w:szCs w:val="28"/>
        </w:rPr>
        <w:t xml:space="preserve">Согласно абзаца четвертого пункта 5 статьи 138 Бюджетного кодекса РФ </w:t>
      </w:r>
      <w:r w:rsidR="008A7BBA" w:rsidRPr="00634C86">
        <w:rPr>
          <w:color w:val="000000"/>
          <w:sz w:val="28"/>
          <w:szCs w:val="28"/>
        </w:rPr>
        <w:t>средства, полученные муниципальным районом по дополнительному нормативу отчислений от налога на доходы физических лиц сверх расчетного объема дотации (части расчетного объема дотации) на выравнивание бюджетной обеспеченности муниципальных районов, изъятию в бюджет субъекта Российской Федерации и (или) учету при последующем распределении межбюджетных трансфертов местным бюджетам не подлежат.</w:t>
      </w:r>
    </w:p>
    <w:p w14:paraId="6BC6EE87" w14:textId="4F8B8B10" w:rsidR="00DA4256" w:rsidRPr="002A122C" w:rsidRDefault="00CB579C" w:rsidP="008A7BBA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34C86">
        <w:rPr>
          <w:rStyle w:val="blk"/>
          <w:rFonts w:ascii="Times New Roman" w:hAnsi="Times New Roman"/>
          <w:sz w:val="28"/>
          <w:szCs w:val="28"/>
        </w:rPr>
        <w:t xml:space="preserve">Таким образом, в текстовой части пояснительной записки к Проекту решения </w:t>
      </w:r>
      <w:r w:rsidR="001211FD" w:rsidRPr="00634C86">
        <w:rPr>
          <w:rStyle w:val="blk"/>
          <w:rFonts w:ascii="Times New Roman" w:hAnsi="Times New Roman"/>
          <w:sz w:val="28"/>
          <w:szCs w:val="28"/>
        </w:rPr>
        <w:t>администрация</w:t>
      </w:r>
      <w:r w:rsidR="00436A3D">
        <w:rPr>
          <w:rStyle w:val="blk"/>
          <w:rFonts w:ascii="Times New Roman" w:hAnsi="Times New Roman"/>
          <w:sz w:val="28"/>
          <w:szCs w:val="28"/>
        </w:rPr>
        <w:t xml:space="preserve"> Михайловского муниципального</w:t>
      </w:r>
      <w:r w:rsidR="001211FD" w:rsidRPr="00634C86">
        <w:rPr>
          <w:rStyle w:val="blk"/>
          <w:rFonts w:ascii="Times New Roman" w:hAnsi="Times New Roman"/>
          <w:sz w:val="28"/>
          <w:szCs w:val="28"/>
        </w:rPr>
        <w:t xml:space="preserve"> района,</w:t>
      </w:r>
      <w:r w:rsidRPr="00634C86">
        <w:rPr>
          <w:rStyle w:val="blk"/>
          <w:rFonts w:ascii="Times New Roman" w:hAnsi="Times New Roman"/>
          <w:sz w:val="28"/>
          <w:szCs w:val="28"/>
        </w:rPr>
        <w:t xml:space="preserve"> ссылаясь на выше отраженную норму</w:t>
      </w:r>
      <w:r w:rsidR="00436A3D">
        <w:rPr>
          <w:rStyle w:val="blk"/>
          <w:rFonts w:ascii="Times New Roman" w:hAnsi="Times New Roman"/>
          <w:sz w:val="28"/>
          <w:szCs w:val="28"/>
        </w:rPr>
        <w:t>,</w:t>
      </w:r>
      <w:r w:rsidRPr="00634C86">
        <w:rPr>
          <w:rStyle w:val="blk"/>
          <w:rFonts w:ascii="Times New Roman" w:hAnsi="Times New Roman"/>
          <w:sz w:val="28"/>
          <w:szCs w:val="28"/>
        </w:rPr>
        <w:t xml:space="preserve"> указывает на целесообразность</w:t>
      </w:r>
      <w:r w:rsidRPr="002A122C">
        <w:rPr>
          <w:rStyle w:val="blk"/>
          <w:rFonts w:ascii="Times New Roman" w:hAnsi="Times New Roman"/>
          <w:b/>
          <w:sz w:val="28"/>
          <w:szCs w:val="28"/>
        </w:rPr>
        <w:t xml:space="preserve"> </w:t>
      </w:r>
      <w:r w:rsidRPr="002A122C">
        <w:rPr>
          <w:rFonts w:ascii="Times New Roman" w:hAnsi="Times New Roman"/>
          <w:sz w:val="28"/>
          <w:szCs w:val="28"/>
          <w:lang w:eastAsia="ar-SA"/>
        </w:rPr>
        <w:t xml:space="preserve">согласования замены дотации на выравнивание бюджетной обеспеченности дополнительным нормативом отчислений от налога на доходы физических лиц в бюджет 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Михайловского муниципального района </w:t>
      </w:r>
      <w:r w:rsidRPr="002A122C">
        <w:rPr>
          <w:rFonts w:ascii="Times New Roman" w:hAnsi="Times New Roman"/>
          <w:sz w:val="28"/>
          <w:szCs w:val="28"/>
          <w:lang w:eastAsia="ar-SA"/>
        </w:rPr>
        <w:t xml:space="preserve"> на 202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3 </w:t>
      </w:r>
      <w:r w:rsidRPr="002A122C">
        <w:rPr>
          <w:rFonts w:ascii="Times New Roman" w:hAnsi="Times New Roman"/>
          <w:sz w:val="28"/>
          <w:szCs w:val="28"/>
          <w:lang w:eastAsia="ar-SA"/>
        </w:rPr>
        <w:t xml:space="preserve">год и </w:t>
      </w:r>
      <w:r w:rsidRPr="002A122C">
        <w:rPr>
          <w:rFonts w:ascii="Times New Roman" w:hAnsi="Times New Roman"/>
          <w:sz w:val="28"/>
          <w:szCs w:val="28"/>
          <w:lang w:eastAsia="ar-SA"/>
        </w:rPr>
        <w:lastRenderedPageBreak/>
        <w:t>плановый период 202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>4</w:t>
      </w:r>
      <w:r w:rsidRPr="002A122C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>5</w:t>
      </w:r>
      <w:r w:rsidRPr="002A122C">
        <w:rPr>
          <w:rFonts w:ascii="Times New Roman" w:hAnsi="Times New Roman"/>
          <w:sz w:val="28"/>
          <w:szCs w:val="28"/>
          <w:lang w:eastAsia="ar-SA"/>
        </w:rPr>
        <w:t xml:space="preserve"> годов 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исходя из </w:t>
      </w:r>
      <w:r w:rsidRPr="002A122C">
        <w:rPr>
          <w:rFonts w:ascii="Times New Roman" w:hAnsi="Times New Roman"/>
          <w:sz w:val="28"/>
          <w:szCs w:val="28"/>
          <w:lang w:eastAsia="ar-SA"/>
        </w:rPr>
        <w:t xml:space="preserve"> пример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ов </w:t>
      </w:r>
      <w:r w:rsidRPr="002A122C">
        <w:rPr>
          <w:rFonts w:ascii="Times New Roman" w:hAnsi="Times New Roman"/>
          <w:sz w:val="28"/>
          <w:szCs w:val="28"/>
          <w:lang w:eastAsia="ar-SA"/>
        </w:rPr>
        <w:t xml:space="preserve"> прошлых периодов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 за 2019-2021 годы</w:t>
      </w:r>
      <w:r w:rsidRPr="002A122C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7161E21F" w14:textId="77777777" w:rsidR="00DA4256" w:rsidRPr="002A122C" w:rsidRDefault="00DA4256" w:rsidP="00CB579C">
      <w:pPr>
        <w:tabs>
          <w:tab w:val="left" w:pos="993"/>
        </w:tabs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2A122C">
        <w:rPr>
          <w:rFonts w:ascii="Times New Roman" w:hAnsi="Times New Roman"/>
          <w:sz w:val="28"/>
          <w:szCs w:val="28"/>
          <w:lang w:eastAsia="ar-SA"/>
        </w:rPr>
        <w:t>В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 представленн</w:t>
      </w:r>
      <w:r w:rsidR="00C33EEA" w:rsidRPr="002A122C">
        <w:rPr>
          <w:rFonts w:ascii="Times New Roman" w:hAnsi="Times New Roman"/>
          <w:sz w:val="28"/>
          <w:szCs w:val="28"/>
          <w:lang w:eastAsia="ar-SA"/>
        </w:rPr>
        <w:t xml:space="preserve">ой пояснительной записке 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 отражен анализ экономической обоснованности применяемого решения о замене дотации дополнительным нормативом. </w:t>
      </w:r>
      <w:r w:rsidRPr="002A122C">
        <w:rPr>
          <w:rFonts w:ascii="Times New Roman" w:hAnsi="Times New Roman"/>
          <w:sz w:val="28"/>
          <w:szCs w:val="28"/>
          <w:lang w:eastAsia="ar-SA"/>
        </w:rPr>
        <w:t xml:space="preserve">В доходной части бюджета налог на доходы физических лиц фактически за период  с 2020 по 2021 год увеличился на  24,45% или 98 686,08 тыс. рублей (НДФЛ за 2020г. – 403 532,12 тыс. руб., за 2021г. – 502 218,12 тыс. руб.). </w:t>
      </w:r>
    </w:p>
    <w:p w14:paraId="56C285F1" w14:textId="5F761BC7" w:rsidR="004D00D4" w:rsidRPr="002A122C" w:rsidRDefault="004D00D4" w:rsidP="00634C86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A122C">
        <w:rPr>
          <w:rFonts w:ascii="Times New Roman" w:hAnsi="Times New Roman"/>
          <w:sz w:val="28"/>
          <w:szCs w:val="28"/>
        </w:rPr>
        <w:t xml:space="preserve">Представленный расчет указывает на наличие эффективности для бюджета Михайловского муниципального района  при принятии настоящего Проекта решения. </w:t>
      </w:r>
    </w:p>
    <w:p w14:paraId="63DF83F1" w14:textId="3E7F2F49" w:rsidR="00CB579C" w:rsidRPr="002A122C" w:rsidRDefault="004D00D4" w:rsidP="00DA4256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2A122C">
        <w:rPr>
          <w:rStyle w:val="blk"/>
          <w:rFonts w:ascii="Times New Roman" w:hAnsi="Times New Roman"/>
          <w:sz w:val="28"/>
          <w:szCs w:val="28"/>
        </w:rPr>
        <w:t>Однако а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бзацем </w:t>
      </w:r>
      <w:r w:rsidRPr="002A122C">
        <w:rPr>
          <w:rStyle w:val="blk"/>
          <w:rFonts w:ascii="Times New Roman" w:hAnsi="Times New Roman"/>
          <w:sz w:val="28"/>
          <w:szCs w:val="28"/>
        </w:rPr>
        <w:t xml:space="preserve">5 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 пункта 5 </w:t>
      </w:r>
      <w:r w:rsidRPr="002A122C">
        <w:rPr>
          <w:rStyle w:val="blk"/>
          <w:rFonts w:ascii="Times New Roman" w:hAnsi="Times New Roman"/>
          <w:sz w:val="28"/>
          <w:szCs w:val="28"/>
        </w:rPr>
        <w:t xml:space="preserve">статьи 138 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Бюджетного кодекса РФ </w:t>
      </w:r>
      <w:r w:rsidRPr="002A122C">
        <w:rPr>
          <w:rStyle w:val="blk"/>
          <w:rFonts w:ascii="Times New Roman" w:hAnsi="Times New Roman"/>
          <w:sz w:val="28"/>
          <w:szCs w:val="28"/>
        </w:rPr>
        <w:t>предусмотрено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, что потери бюджета </w:t>
      </w:r>
      <w:r w:rsidRPr="002A122C">
        <w:rPr>
          <w:rStyle w:val="blk"/>
          <w:rFonts w:ascii="Times New Roman" w:hAnsi="Times New Roman"/>
          <w:sz w:val="28"/>
          <w:szCs w:val="28"/>
        </w:rPr>
        <w:t xml:space="preserve">муниципального района 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 в связи с получением средств по дополнительному нормативу отчислений от налога на доходы физических лиц ниже расчетного объема дотации (части расчетного объема дотации) на выравнивание бюджетной обеспеченности </w:t>
      </w:r>
      <w:r w:rsidRPr="002A122C">
        <w:rPr>
          <w:rStyle w:val="blk"/>
          <w:rFonts w:ascii="Times New Roman" w:hAnsi="Times New Roman"/>
          <w:sz w:val="28"/>
          <w:szCs w:val="28"/>
        </w:rPr>
        <w:t>муниципальных районов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>, компенсации из бюджета субъекта Российской Федерации и (или) учету при последующем распределении межбюджетных трансфертов местным бюджетам</w:t>
      </w:r>
      <w:r w:rsidR="00CB579C" w:rsidRPr="002A122C">
        <w:rPr>
          <w:rStyle w:val="blk"/>
          <w:rFonts w:ascii="Times New Roman" w:hAnsi="Times New Roman"/>
          <w:b/>
          <w:sz w:val="28"/>
          <w:szCs w:val="28"/>
        </w:rPr>
        <w:t xml:space="preserve"> не подлежат.</w:t>
      </w:r>
    </w:p>
    <w:p w14:paraId="4AC81FE4" w14:textId="77777777" w:rsidR="002A122C" w:rsidRPr="002A122C" w:rsidRDefault="002A122C" w:rsidP="00DA4256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0F489B5" w14:textId="6DD7FF42" w:rsidR="00CB579C" w:rsidRPr="002A122C" w:rsidRDefault="002A122C" w:rsidP="002A122C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053E747" w14:textId="77777777" w:rsidR="00CB579C" w:rsidRPr="002A122C" w:rsidRDefault="00CB579C" w:rsidP="002A122C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F0304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0D8A5001" w14:textId="3B461700" w:rsidR="00F03043" w:rsidRDefault="00F03043" w:rsidP="00F030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экспертно-аналитического мероприятия по первому вопросу Контрольно-счетной комиссией  установлено,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 xml:space="preserve">что проект решения </w:t>
      </w:r>
      <w:r w:rsidRPr="00F03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2023 и плановый период 2024 и 2025 годов»</w:t>
      </w:r>
      <w:r w:rsidRPr="00F03043">
        <w:rPr>
          <w:rFonts w:ascii="Times New Roman" w:hAnsi="Times New Roman"/>
          <w:sz w:val="28"/>
          <w:szCs w:val="28"/>
        </w:rPr>
        <w:t xml:space="preserve"> не противоречит действующему законодательству и может быть рассмотрен Думой Михайловского муниципального района  в представленной редакции.</w:t>
      </w:r>
    </w:p>
    <w:p w14:paraId="70A21EA2" w14:textId="77777777" w:rsidR="00F03043" w:rsidRPr="00F03043" w:rsidRDefault="00F03043" w:rsidP="00F030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29296" w14:textId="32722BE1" w:rsidR="00F03043" w:rsidRPr="00F03043" w:rsidRDefault="00F03043" w:rsidP="00F03043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2. В ходе проведения экспертно-аналитического мероприятия 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43E88A13" w14:textId="705E62A2" w:rsidR="00DE76BC" w:rsidRPr="002A122C" w:rsidRDefault="002C75D8" w:rsidP="00D854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D85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Pr="002A122C" w:rsidRDefault="00A404FB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715DA0FF" w14:textId="77777777" w:rsidR="00EC2F19" w:rsidRPr="002A122C" w:rsidRDefault="00EC2F19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2F19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0649133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842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659817">
    <w:abstractNumId w:val="5"/>
  </w:num>
  <w:num w:numId="4" w16cid:durableId="1996955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4266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54053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679295">
    <w:abstractNumId w:val="2"/>
  </w:num>
  <w:num w:numId="8" w16cid:durableId="668287916">
    <w:abstractNumId w:val="1"/>
  </w:num>
  <w:num w:numId="9" w16cid:durableId="422649178">
    <w:abstractNumId w:val="4"/>
  </w:num>
  <w:num w:numId="10" w16cid:durableId="1433010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8428935">
    <w:abstractNumId w:val="6"/>
  </w:num>
  <w:num w:numId="12" w16cid:durableId="838545018">
    <w:abstractNumId w:val="3"/>
  </w:num>
  <w:num w:numId="13" w16cid:durableId="7738682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89748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079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566C"/>
    <w:rsid w:val="0005286C"/>
    <w:rsid w:val="00092A1E"/>
    <w:rsid w:val="000A479D"/>
    <w:rsid w:val="000B1C18"/>
    <w:rsid w:val="000C36DE"/>
    <w:rsid w:val="000E3256"/>
    <w:rsid w:val="000F6E80"/>
    <w:rsid w:val="00115BFC"/>
    <w:rsid w:val="001211FD"/>
    <w:rsid w:val="00141EDC"/>
    <w:rsid w:val="00143CA6"/>
    <w:rsid w:val="00172938"/>
    <w:rsid w:val="001923B5"/>
    <w:rsid w:val="001A599A"/>
    <w:rsid w:val="001A6BDD"/>
    <w:rsid w:val="001B5723"/>
    <w:rsid w:val="001D715C"/>
    <w:rsid w:val="001E3275"/>
    <w:rsid w:val="00222241"/>
    <w:rsid w:val="00231BE9"/>
    <w:rsid w:val="00240DBF"/>
    <w:rsid w:val="002541BC"/>
    <w:rsid w:val="0026582C"/>
    <w:rsid w:val="002A122C"/>
    <w:rsid w:val="002B4E66"/>
    <w:rsid w:val="002C75D8"/>
    <w:rsid w:val="002D3789"/>
    <w:rsid w:val="002E6A76"/>
    <w:rsid w:val="002F2EED"/>
    <w:rsid w:val="002F523E"/>
    <w:rsid w:val="00326B57"/>
    <w:rsid w:val="003413BE"/>
    <w:rsid w:val="0035676C"/>
    <w:rsid w:val="003624C7"/>
    <w:rsid w:val="00373098"/>
    <w:rsid w:val="00373C83"/>
    <w:rsid w:val="003B2FB4"/>
    <w:rsid w:val="003D5DB0"/>
    <w:rsid w:val="003F262D"/>
    <w:rsid w:val="00436A3D"/>
    <w:rsid w:val="00443294"/>
    <w:rsid w:val="004453B0"/>
    <w:rsid w:val="00451B1C"/>
    <w:rsid w:val="0045577A"/>
    <w:rsid w:val="00474F45"/>
    <w:rsid w:val="00486D4F"/>
    <w:rsid w:val="004B3E0E"/>
    <w:rsid w:val="004B44B1"/>
    <w:rsid w:val="004B5857"/>
    <w:rsid w:val="004C2D59"/>
    <w:rsid w:val="004D00D4"/>
    <w:rsid w:val="00501A9C"/>
    <w:rsid w:val="00504270"/>
    <w:rsid w:val="00505050"/>
    <w:rsid w:val="005061E1"/>
    <w:rsid w:val="0051208D"/>
    <w:rsid w:val="00512114"/>
    <w:rsid w:val="005212D6"/>
    <w:rsid w:val="0053662C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D5547"/>
    <w:rsid w:val="005E0A4D"/>
    <w:rsid w:val="005E749E"/>
    <w:rsid w:val="006278DA"/>
    <w:rsid w:val="00634C86"/>
    <w:rsid w:val="00651121"/>
    <w:rsid w:val="0065658D"/>
    <w:rsid w:val="006661E8"/>
    <w:rsid w:val="00675848"/>
    <w:rsid w:val="00676D66"/>
    <w:rsid w:val="00690870"/>
    <w:rsid w:val="006B6EDE"/>
    <w:rsid w:val="006B7C62"/>
    <w:rsid w:val="006D17CF"/>
    <w:rsid w:val="006F319A"/>
    <w:rsid w:val="00717CD5"/>
    <w:rsid w:val="007206F6"/>
    <w:rsid w:val="00733D8F"/>
    <w:rsid w:val="00761837"/>
    <w:rsid w:val="00767C34"/>
    <w:rsid w:val="00774004"/>
    <w:rsid w:val="007A1478"/>
    <w:rsid w:val="007A77BC"/>
    <w:rsid w:val="007B10DB"/>
    <w:rsid w:val="007B398E"/>
    <w:rsid w:val="007C51AC"/>
    <w:rsid w:val="007E5C90"/>
    <w:rsid w:val="008170A7"/>
    <w:rsid w:val="008307EF"/>
    <w:rsid w:val="00841854"/>
    <w:rsid w:val="008554FF"/>
    <w:rsid w:val="00857F65"/>
    <w:rsid w:val="008A7BBA"/>
    <w:rsid w:val="008C46FF"/>
    <w:rsid w:val="008E3922"/>
    <w:rsid w:val="00900657"/>
    <w:rsid w:val="00907A8B"/>
    <w:rsid w:val="00931EB3"/>
    <w:rsid w:val="0094298D"/>
    <w:rsid w:val="00953055"/>
    <w:rsid w:val="009565ED"/>
    <w:rsid w:val="00987C14"/>
    <w:rsid w:val="00997738"/>
    <w:rsid w:val="009C1F1D"/>
    <w:rsid w:val="009E225D"/>
    <w:rsid w:val="009F73E7"/>
    <w:rsid w:val="00A019AC"/>
    <w:rsid w:val="00A30DC9"/>
    <w:rsid w:val="00A36CAC"/>
    <w:rsid w:val="00A37B2F"/>
    <w:rsid w:val="00A404FB"/>
    <w:rsid w:val="00A627CD"/>
    <w:rsid w:val="00A70F97"/>
    <w:rsid w:val="00A9233A"/>
    <w:rsid w:val="00AD514E"/>
    <w:rsid w:val="00B116BC"/>
    <w:rsid w:val="00B14640"/>
    <w:rsid w:val="00B3314E"/>
    <w:rsid w:val="00B47865"/>
    <w:rsid w:val="00B51391"/>
    <w:rsid w:val="00B60705"/>
    <w:rsid w:val="00B64F94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5A2A"/>
    <w:rsid w:val="00D47D16"/>
    <w:rsid w:val="00D54E4A"/>
    <w:rsid w:val="00D854BD"/>
    <w:rsid w:val="00D972E1"/>
    <w:rsid w:val="00DA4256"/>
    <w:rsid w:val="00DB42A8"/>
    <w:rsid w:val="00DE76BC"/>
    <w:rsid w:val="00E012EE"/>
    <w:rsid w:val="00E2444D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F03043"/>
    <w:rsid w:val="00F33445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7CA87437-18BD-44F7-802F-13B91AD3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66DA-0ED3-4197-A37A-E543FC06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133</cp:revision>
  <cp:lastPrinted>2022-06-21T00:55:00Z</cp:lastPrinted>
  <dcterms:created xsi:type="dcterms:W3CDTF">2022-01-13T05:11:00Z</dcterms:created>
  <dcterms:modified xsi:type="dcterms:W3CDTF">2022-06-21T00:55:00Z</dcterms:modified>
</cp:coreProperties>
</file>